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D9" w:rsidRDefault="00C155D9" w:rsidP="00C155D9">
      <w:pPr>
        <w:spacing w:line="360" w:lineRule="auto"/>
        <w:rPr>
          <w:rFonts w:ascii="Times New Roman" w:hAnsi="Times New Roman" w:cs="Times New Roman"/>
          <w:b/>
        </w:rPr>
      </w:pPr>
      <w:r>
        <w:rPr>
          <w:rFonts w:ascii="Times New Roman" w:hAnsi="Times New Roman" w:cs="Times New Roman"/>
          <w:b/>
        </w:rPr>
        <w:t>Appendix A: Data Appendix</w:t>
      </w:r>
    </w:p>
    <w:p w:rsidR="00C155D9" w:rsidRDefault="00C155D9" w:rsidP="00C155D9">
      <w:pPr>
        <w:spacing w:line="360" w:lineRule="auto"/>
        <w:ind w:firstLine="720"/>
        <w:jc w:val="both"/>
        <w:rPr>
          <w:rFonts w:ascii="Times New Roman" w:hAnsi="Times New Roman" w:cs="Times New Roman"/>
        </w:rPr>
      </w:pPr>
      <w:r w:rsidRPr="005704E4">
        <w:rPr>
          <w:rFonts w:ascii="Times New Roman" w:hAnsi="Times New Roman" w:cs="Times New Roman"/>
        </w:rPr>
        <w:t xml:space="preserve">Our data set of retail and service businesses in Texas is uniquely comprehensive. We can identify every entity that collected sales taxes from consumers in the state—and hence every establishment that sold goods or services to end consumers—between 1990 and 2011. We constructed this database by combining information from several downloads of the Texas Sales and Use Tax Permit Holder Information File. </w:t>
      </w:r>
      <w:proofErr w:type="gramStart"/>
      <w:r w:rsidRPr="005704E4">
        <w:rPr>
          <w:rFonts w:ascii="Times New Roman" w:hAnsi="Times New Roman" w:cs="Times New Roman"/>
        </w:rPr>
        <w:t xml:space="preserve">After grouping records relating to the same business establishment, eliminating a small set of non-business </w:t>
      </w:r>
      <w:r w:rsidRPr="00046F7B">
        <w:rPr>
          <w:rFonts w:ascii="Times New Roman" w:hAnsi="Times New Roman" w:cs="Times New Roman"/>
        </w:rPr>
        <w:t>entities (mostly associations</w:t>
      </w:r>
      <w:r>
        <w:rPr>
          <w:rFonts w:ascii="Times New Roman" w:hAnsi="Times New Roman" w:cs="Times New Roman"/>
        </w:rPr>
        <w:t xml:space="preserve"> that have some sales activities, as well as some public entities such as school districts), some with missing data (especially on end-of-business dates), </w:t>
      </w:r>
      <w:r w:rsidRPr="005704E4">
        <w:rPr>
          <w:rFonts w:ascii="Times New Roman" w:hAnsi="Times New Roman" w:cs="Times New Roman"/>
        </w:rPr>
        <w:t xml:space="preserve">and those that are </w:t>
      </w:r>
      <w:r>
        <w:rPr>
          <w:rFonts w:ascii="Times New Roman" w:hAnsi="Times New Roman" w:cs="Times New Roman"/>
        </w:rPr>
        <w:t>not opened for at least 30 days</w:t>
      </w:r>
      <w:r w:rsidRPr="005704E4">
        <w:rPr>
          <w:rFonts w:ascii="Times New Roman" w:hAnsi="Times New Roman" w:cs="Times New Roman"/>
        </w:rPr>
        <w:t xml:space="preserve"> </w:t>
      </w:r>
      <w:r>
        <w:rPr>
          <w:rFonts w:ascii="Times New Roman" w:hAnsi="Times New Roman" w:cs="Times New Roman"/>
        </w:rPr>
        <w:t>(</w:t>
      </w:r>
      <w:r w:rsidRPr="005704E4">
        <w:rPr>
          <w:rFonts w:ascii="Times New Roman" w:hAnsi="Times New Roman" w:cs="Times New Roman"/>
        </w:rPr>
        <w:t>on the presumption that these are not real businesses</w:t>
      </w:r>
      <w:r>
        <w:rPr>
          <w:rFonts w:ascii="Times New Roman" w:hAnsi="Times New Roman" w:cs="Times New Roman"/>
        </w:rPr>
        <w:t>)</w:t>
      </w:r>
      <w:r w:rsidRPr="005704E4">
        <w:rPr>
          <w:rFonts w:ascii="Times New Roman" w:hAnsi="Times New Roman" w:cs="Times New Roman"/>
        </w:rPr>
        <w:t xml:space="preserve">, </w:t>
      </w:r>
      <w:r>
        <w:rPr>
          <w:rFonts w:ascii="Times New Roman" w:hAnsi="Times New Roman" w:cs="Times New Roman"/>
        </w:rPr>
        <w:t xml:space="preserve">and 18 observations with missing data on urban status </w:t>
      </w:r>
      <w:r w:rsidRPr="005704E4">
        <w:rPr>
          <w:rFonts w:ascii="Times New Roman" w:hAnsi="Times New Roman" w:cs="Times New Roman"/>
        </w:rPr>
        <w:t>(defined as whether they are established within city limits in the Texas Sales Tax files)</w:t>
      </w:r>
      <w:r>
        <w:rPr>
          <w:rFonts w:ascii="Times New Roman" w:hAnsi="Times New Roman" w:cs="Times New Roman"/>
        </w:rPr>
        <w:t xml:space="preserve">, </w:t>
      </w:r>
      <w:r w:rsidRPr="005704E4">
        <w:rPr>
          <w:rFonts w:ascii="Times New Roman" w:hAnsi="Times New Roman" w:cs="Times New Roman"/>
        </w:rPr>
        <w:t xml:space="preserve">we obtain a sample size of </w:t>
      </w:r>
      <w:r w:rsidRPr="000909E6">
        <w:rPr>
          <w:rFonts w:ascii="Times New Roman" w:hAnsi="Times New Roman" w:cs="Times New Roman"/>
        </w:rPr>
        <w:t>3</w:t>
      </w:r>
      <w:r>
        <w:rPr>
          <w:rFonts w:ascii="Times New Roman" w:hAnsi="Times New Roman" w:cs="Times New Roman"/>
        </w:rPr>
        <w:t>,</w:t>
      </w:r>
      <w:r w:rsidRPr="000909E6">
        <w:rPr>
          <w:rFonts w:ascii="Times New Roman" w:hAnsi="Times New Roman" w:cs="Times New Roman"/>
        </w:rPr>
        <w:t>200</w:t>
      </w:r>
      <w:r>
        <w:rPr>
          <w:rFonts w:ascii="Times New Roman" w:hAnsi="Times New Roman" w:cs="Times New Roman"/>
        </w:rPr>
        <w:t xml:space="preserve">,824 </w:t>
      </w:r>
      <w:r w:rsidRPr="005704E4">
        <w:rPr>
          <w:rFonts w:ascii="Times New Roman" w:hAnsi="Times New Roman" w:cs="Times New Roman"/>
        </w:rPr>
        <w:t>businesses owned by 2,160,</w:t>
      </w:r>
      <w:r>
        <w:rPr>
          <w:rFonts w:ascii="Times New Roman" w:hAnsi="Times New Roman" w:cs="Times New Roman"/>
        </w:rPr>
        <w:t>391</w:t>
      </w:r>
      <w:r w:rsidRPr="005704E4">
        <w:rPr>
          <w:rFonts w:ascii="Times New Roman" w:hAnsi="Times New Roman" w:cs="Times New Roman"/>
        </w:rPr>
        <w:t xml:space="preserve"> separate owners.</w:t>
      </w:r>
      <w:proofErr w:type="gramEnd"/>
      <w:r w:rsidRPr="005704E4">
        <w:rPr>
          <w:rFonts w:ascii="Times New Roman" w:hAnsi="Times New Roman" w:cs="Times New Roman"/>
        </w:rPr>
        <w:t xml:space="preserve"> </w:t>
      </w:r>
      <w:r>
        <w:rPr>
          <w:rFonts w:ascii="Times New Roman" w:hAnsi="Times New Roman" w:cs="Times New Roman"/>
        </w:rPr>
        <w:t xml:space="preserve">We use this full set of observations when determining owner size, which </w:t>
      </w:r>
      <w:proofErr w:type="gramStart"/>
      <w:r>
        <w:rPr>
          <w:rFonts w:ascii="Times New Roman" w:hAnsi="Times New Roman" w:cs="Times New Roman"/>
        </w:rPr>
        <w:t>is measured</w:t>
      </w:r>
      <w:proofErr w:type="gramEnd"/>
      <w:r>
        <w:rPr>
          <w:rFonts w:ascii="Times New Roman" w:hAnsi="Times New Roman" w:cs="Times New Roman"/>
        </w:rPr>
        <w:t xml:space="preserve"> in terms of number of businesses.  Of these businesses, 2,818,505, owned by 1,956,829 separate owners, </w:t>
      </w:r>
      <w:proofErr w:type="gramStart"/>
      <w:r>
        <w:rPr>
          <w:rFonts w:ascii="Times New Roman" w:hAnsi="Times New Roman" w:cs="Times New Roman"/>
        </w:rPr>
        <w:t>are started</w:t>
      </w:r>
      <w:proofErr w:type="gramEnd"/>
      <w:r>
        <w:rPr>
          <w:rFonts w:ascii="Times New Roman" w:hAnsi="Times New Roman" w:cs="Times New Roman"/>
        </w:rPr>
        <w:t xml:space="preserve"> after Jan. 1, 1990 and thus are used in the calculation of number of businesses “established before” the businesses of interest in our analyses.  </w:t>
      </w:r>
    </w:p>
    <w:p w:rsidR="00C155D9" w:rsidRPr="005704E4" w:rsidRDefault="00C155D9" w:rsidP="00C155D9">
      <w:pPr>
        <w:spacing w:line="360" w:lineRule="auto"/>
        <w:ind w:firstLine="720"/>
        <w:jc w:val="both"/>
        <w:rPr>
          <w:rFonts w:ascii="Times New Roman" w:hAnsi="Times New Roman" w:cs="Times New Roman"/>
        </w:rPr>
      </w:pPr>
      <w:r>
        <w:rPr>
          <w:rFonts w:ascii="Times New Roman" w:hAnsi="Times New Roman" w:cs="Times New Roman"/>
        </w:rPr>
        <w:t>For our analyses, we reduce the sample to the businesses that indicate that they operate in the retail sector, where we define retail broadly given that the presence of these businesses in the data already indicates that they collect sales taxes.</w:t>
      </w:r>
      <w:r>
        <w:rPr>
          <w:rStyle w:val="FootnoteReference"/>
          <w:rFonts w:ascii="Times New Roman" w:hAnsi="Times New Roman" w:cs="Times New Roman"/>
        </w:rPr>
        <w:footnoteReference w:id="1"/>
      </w:r>
      <w:r>
        <w:rPr>
          <w:rFonts w:ascii="Times New Roman" w:hAnsi="Times New Roman" w:cs="Times New Roman"/>
        </w:rPr>
        <w:t xml:space="preserve"> We have </w:t>
      </w:r>
      <w:r w:rsidRPr="000909E6">
        <w:rPr>
          <w:rFonts w:ascii="Times New Roman" w:hAnsi="Times New Roman" w:cs="Times New Roman"/>
        </w:rPr>
        <w:t>2</w:t>
      </w:r>
      <w:r>
        <w:rPr>
          <w:rFonts w:ascii="Times New Roman" w:hAnsi="Times New Roman" w:cs="Times New Roman"/>
        </w:rPr>
        <w:t>,</w:t>
      </w:r>
      <w:r w:rsidRPr="000909E6">
        <w:rPr>
          <w:rFonts w:ascii="Times New Roman" w:hAnsi="Times New Roman" w:cs="Times New Roman"/>
        </w:rPr>
        <w:t>780</w:t>
      </w:r>
      <w:r>
        <w:rPr>
          <w:rFonts w:ascii="Times New Roman" w:hAnsi="Times New Roman" w:cs="Times New Roman"/>
        </w:rPr>
        <w:t>,</w:t>
      </w:r>
      <w:r w:rsidRPr="000909E6">
        <w:rPr>
          <w:rFonts w:ascii="Times New Roman" w:hAnsi="Times New Roman" w:cs="Times New Roman"/>
        </w:rPr>
        <w:t>3</w:t>
      </w:r>
      <w:r>
        <w:rPr>
          <w:rFonts w:ascii="Times New Roman" w:hAnsi="Times New Roman" w:cs="Times New Roman"/>
        </w:rPr>
        <w:t xml:space="preserve">70 such businesses, owned by 1,890,321 owners, in our original sample of </w:t>
      </w:r>
      <w:r w:rsidRPr="000909E6">
        <w:rPr>
          <w:rFonts w:ascii="Times New Roman" w:hAnsi="Times New Roman" w:cs="Times New Roman"/>
        </w:rPr>
        <w:t>3</w:t>
      </w:r>
      <w:r>
        <w:rPr>
          <w:rFonts w:ascii="Times New Roman" w:hAnsi="Times New Roman" w:cs="Times New Roman"/>
        </w:rPr>
        <w:t>,</w:t>
      </w:r>
      <w:r w:rsidRPr="000909E6">
        <w:rPr>
          <w:rFonts w:ascii="Times New Roman" w:hAnsi="Times New Roman" w:cs="Times New Roman"/>
        </w:rPr>
        <w:t>200</w:t>
      </w:r>
      <w:r>
        <w:rPr>
          <w:rFonts w:ascii="Times New Roman" w:hAnsi="Times New Roman" w:cs="Times New Roman"/>
        </w:rPr>
        <w:t xml:space="preserve">,824 </w:t>
      </w:r>
      <w:r w:rsidRPr="005704E4">
        <w:rPr>
          <w:rFonts w:ascii="Times New Roman" w:hAnsi="Times New Roman" w:cs="Times New Roman"/>
        </w:rPr>
        <w:t>businesses</w:t>
      </w:r>
      <w:r>
        <w:rPr>
          <w:rFonts w:ascii="Times New Roman" w:hAnsi="Times New Roman" w:cs="Times New Roman"/>
        </w:rPr>
        <w:t xml:space="preserve">. Of these, 2,452,311 businesses, owned by 1,715,352 owners, </w:t>
      </w:r>
      <w:proofErr w:type="gramStart"/>
      <w:r>
        <w:rPr>
          <w:rFonts w:ascii="Times New Roman" w:hAnsi="Times New Roman" w:cs="Times New Roman"/>
        </w:rPr>
        <w:t>are started</w:t>
      </w:r>
      <w:proofErr w:type="gramEnd"/>
      <w:r>
        <w:rPr>
          <w:rFonts w:ascii="Times New Roman" w:hAnsi="Times New Roman" w:cs="Times New Roman"/>
        </w:rPr>
        <w:t xml:space="preserve"> from 1990 onward (see also Tables 1 and 2). </w:t>
      </w:r>
    </w:p>
    <w:p w:rsidR="00C155D9" w:rsidRPr="005704E4" w:rsidRDefault="00C155D9" w:rsidP="00C155D9">
      <w:pPr>
        <w:spacing w:line="360" w:lineRule="auto"/>
        <w:ind w:firstLine="720"/>
        <w:jc w:val="both"/>
        <w:rPr>
          <w:rFonts w:ascii="Times New Roman" w:hAnsi="Times New Roman" w:cs="Times New Roman"/>
        </w:rPr>
      </w:pPr>
      <w:r>
        <w:rPr>
          <w:rFonts w:ascii="Times New Roman" w:hAnsi="Times New Roman" w:cs="Times New Roman"/>
        </w:rPr>
        <w:t>Our</w:t>
      </w:r>
      <w:r w:rsidRPr="005704E4">
        <w:rPr>
          <w:rFonts w:ascii="Times New Roman" w:hAnsi="Times New Roman" w:cs="Times New Roman"/>
        </w:rPr>
        <w:t xml:space="preserve"> interest in small business entrepreneurship leads us to </w:t>
      </w:r>
      <w:r>
        <w:rPr>
          <w:rFonts w:ascii="Times New Roman" w:hAnsi="Times New Roman" w:cs="Times New Roman"/>
        </w:rPr>
        <w:t>focus most of our analyses</w:t>
      </w:r>
      <w:r w:rsidRPr="005704E4">
        <w:rPr>
          <w:rFonts w:ascii="Times New Roman" w:hAnsi="Times New Roman" w:cs="Times New Roman"/>
        </w:rPr>
        <w:t xml:space="preserve"> </w:t>
      </w:r>
      <w:r>
        <w:rPr>
          <w:rFonts w:ascii="Times New Roman" w:hAnsi="Times New Roman" w:cs="Times New Roman"/>
        </w:rPr>
        <w:t>on</w:t>
      </w:r>
      <w:r w:rsidRPr="005704E4">
        <w:rPr>
          <w:rFonts w:ascii="Times New Roman" w:hAnsi="Times New Roman" w:cs="Times New Roman"/>
        </w:rPr>
        <w:t xml:space="preserve"> those owners with 20 or fewer businesses</w:t>
      </w:r>
      <w:r>
        <w:rPr>
          <w:rFonts w:ascii="Times New Roman" w:hAnsi="Times New Roman" w:cs="Times New Roman"/>
        </w:rPr>
        <w:t>. Our</w:t>
      </w:r>
      <w:r w:rsidRPr="005704E4">
        <w:rPr>
          <w:rFonts w:ascii="Times New Roman" w:hAnsi="Times New Roman" w:cs="Times New Roman"/>
        </w:rPr>
        <w:t xml:space="preserve"> sample </w:t>
      </w:r>
      <w:r>
        <w:rPr>
          <w:rFonts w:ascii="Times New Roman" w:hAnsi="Times New Roman" w:cs="Times New Roman"/>
        </w:rPr>
        <w:t xml:space="preserve">of retail businesses started from 1990 onward and owned by small owners is </w:t>
      </w:r>
      <w:r w:rsidRPr="0051428B">
        <w:rPr>
          <w:rFonts w:ascii="Times New Roman" w:hAnsi="Times New Roman" w:cs="Times New Roman"/>
        </w:rPr>
        <w:t>2</w:t>
      </w:r>
      <w:r>
        <w:rPr>
          <w:rFonts w:ascii="Times New Roman" w:hAnsi="Times New Roman" w:cs="Times New Roman"/>
        </w:rPr>
        <w:t>,</w:t>
      </w:r>
      <w:r w:rsidRPr="0051428B">
        <w:rPr>
          <w:rFonts w:ascii="Times New Roman" w:hAnsi="Times New Roman" w:cs="Times New Roman"/>
        </w:rPr>
        <w:t>331</w:t>
      </w:r>
      <w:r>
        <w:rPr>
          <w:rFonts w:ascii="Times New Roman" w:hAnsi="Times New Roman" w:cs="Times New Roman"/>
        </w:rPr>
        <w:t>,</w:t>
      </w:r>
      <w:r w:rsidRPr="0051428B">
        <w:rPr>
          <w:rFonts w:ascii="Times New Roman" w:hAnsi="Times New Roman" w:cs="Times New Roman"/>
        </w:rPr>
        <w:t>988</w:t>
      </w:r>
      <w:r w:rsidRPr="005704E4">
        <w:rPr>
          <w:rFonts w:ascii="Times New Roman" w:hAnsi="Times New Roman" w:cs="Times New Roman"/>
        </w:rPr>
        <w:t xml:space="preserve"> busines</w:t>
      </w:r>
      <w:r>
        <w:rPr>
          <w:rFonts w:ascii="Times New Roman" w:hAnsi="Times New Roman" w:cs="Times New Roman"/>
        </w:rPr>
        <w:t>ses for</w:t>
      </w:r>
      <w:r w:rsidRPr="005704E4">
        <w:rPr>
          <w:rFonts w:ascii="Times New Roman" w:hAnsi="Times New Roman" w:cs="Times New Roman"/>
        </w:rPr>
        <w:t xml:space="preserve"> </w:t>
      </w:r>
      <w:r w:rsidRPr="0051428B">
        <w:rPr>
          <w:rFonts w:ascii="Times New Roman" w:hAnsi="Times New Roman" w:cs="Times New Roman"/>
        </w:rPr>
        <w:t>1</w:t>
      </w:r>
      <w:r>
        <w:rPr>
          <w:rFonts w:ascii="Times New Roman" w:hAnsi="Times New Roman" w:cs="Times New Roman"/>
        </w:rPr>
        <w:t>,</w:t>
      </w:r>
      <w:r w:rsidRPr="0051428B">
        <w:rPr>
          <w:rFonts w:ascii="Times New Roman" w:hAnsi="Times New Roman" w:cs="Times New Roman"/>
        </w:rPr>
        <w:t>713</w:t>
      </w:r>
      <w:r>
        <w:rPr>
          <w:rFonts w:ascii="Times New Roman" w:hAnsi="Times New Roman" w:cs="Times New Roman"/>
        </w:rPr>
        <w:t>,</w:t>
      </w:r>
      <w:r w:rsidRPr="0051428B">
        <w:rPr>
          <w:rFonts w:ascii="Times New Roman" w:hAnsi="Times New Roman" w:cs="Times New Roman"/>
        </w:rPr>
        <w:t>112</w:t>
      </w:r>
      <w:r w:rsidRPr="005704E4">
        <w:rPr>
          <w:rFonts w:ascii="Times New Roman" w:hAnsi="Times New Roman" w:cs="Times New Roman"/>
        </w:rPr>
        <w:t xml:space="preserve"> owners.</w:t>
      </w:r>
      <w:r>
        <w:rPr>
          <w:rFonts w:ascii="Times New Roman" w:hAnsi="Times New Roman" w:cs="Times New Roman"/>
        </w:rPr>
        <w:t xml:space="preserve"> In other words, we have only 2240 large owners, and these are associated with only 120,323 retail establishments founded since Jan. 1, 1990. Because these establishments have longer duration, they represent about 10 percent of the total number of retail establishments operating at a given point in time (again see Tables 1 and 2).</w:t>
      </w:r>
    </w:p>
    <w:p w:rsidR="00C155D9" w:rsidRPr="005704E4" w:rsidRDefault="00C155D9" w:rsidP="00C155D9">
      <w:pPr>
        <w:spacing w:line="360" w:lineRule="auto"/>
        <w:jc w:val="both"/>
        <w:rPr>
          <w:rFonts w:ascii="Times New Roman" w:hAnsi="Times New Roman" w:cs="Times New Roman"/>
        </w:rPr>
      </w:pPr>
    </w:p>
    <w:p w:rsidR="00C155D9" w:rsidRPr="005704E4" w:rsidRDefault="00C155D9" w:rsidP="00C155D9">
      <w:pPr>
        <w:spacing w:line="360" w:lineRule="auto"/>
        <w:jc w:val="both"/>
        <w:rPr>
          <w:rFonts w:ascii="Times New Roman" w:hAnsi="Times New Roman" w:cs="Times New Roman"/>
        </w:rPr>
      </w:pPr>
    </w:p>
    <w:p w:rsidR="00C155D9" w:rsidRPr="00C171B8" w:rsidRDefault="00C155D9" w:rsidP="00C155D9">
      <w:pPr>
        <w:pStyle w:val="ListParagraph"/>
        <w:spacing w:line="360" w:lineRule="auto"/>
        <w:jc w:val="both"/>
        <w:rPr>
          <w:rFonts w:ascii="Times New Roman" w:hAnsi="Times New Roman" w:cs="Times New Roman"/>
        </w:rPr>
      </w:pPr>
      <w:r>
        <w:rPr>
          <w:rFonts w:ascii="Times New Roman" w:hAnsi="Times New Roman" w:cs="Times New Roman"/>
        </w:rPr>
        <w:lastRenderedPageBreak/>
        <w:t>Table A1: The Distribution of Businesses by 3-digit NAICS for our Retail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350"/>
        <w:gridCol w:w="1260"/>
        <w:gridCol w:w="1377"/>
      </w:tblGrid>
      <w:tr w:rsidR="00C155D9" w:rsidRPr="00C171B8" w:rsidTr="008739CA">
        <w:tc>
          <w:tcPr>
            <w:tcW w:w="4788" w:type="dxa"/>
            <w:tcBorders>
              <w:top w:val="single" w:sz="4" w:space="0" w:color="auto"/>
              <w:bottom w:val="single" w:sz="4" w:space="0" w:color="auto"/>
            </w:tcBorders>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NAICS 2002</w:t>
            </w:r>
            <w:r>
              <w:rPr>
                <w:rFonts w:ascii="Times New Roman" w:hAnsi="Times New Roman" w:cs="Times New Roman"/>
                <w:sz w:val="22"/>
                <w:szCs w:val="22"/>
              </w:rPr>
              <w:t xml:space="preserve"> Sector</w:t>
            </w:r>
          </w:p>
        </w:tc>
        <w:tc>
          <w:tcPr>
            <w:tcW w:w="1350" w:type="dxa"/>
            <w:tcBorders>
              <w:top w:val="single" w:sz="4" w:space="0" w:color="auto"/>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Pr>
                <w:rFonts w:ascii="Times New Roman" w:hAnsi="Times New Roman" w:cs="Times New Roman"/>
                <w:sz w:val="22"/>
                <w:szCs w:val="22"/>
              </w:rPr>
              <w:t>Frequency</w:t>
            </w:r>
          </w:p>
        </w:tc>
        <w:tc>
          <w:tcPr>
            <w:tcW w:w="1260" w:type="dxa"/>
            <w:tcBorders>
              <w:top w:val="single" w:sz="4" w:space="0" w:color="auto"/>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Pr>
                <w:rFonts w:ascii="Times New Roman" w:hAnsi="Times New Roman" w:cs="Times New Roman"/>
                <w:sz w:val="22"/>
                <w:szCs w:val="22"/>
              </w:rPr>
              <w:t>Percent</w:t>
            </w:r>
          </w:p>
        </w:tc>
        <w:tc>
          <w:tcPr>
            <w:tcW w:w="1170" w:type="dxa"/>
            <w:tcBorders>
              <w:top w:val="single" w:sz="4" w:space="0" w:color="auto"/>
              <w:bottom w:val="single" w:sz="4" w:space="0" w:color="auto"/>
            </w:tcBorders>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Pr>
                <w:rFonts w:ascii="Times New Roman" w:hAnsi="Times New Roman" w:cs="Times New Roman"/>
                <w:sz w:val="22"/>
                <w:szCs w:val="22"/>
              </w:rPr>
              <w:t>Cumulative</w:t>
            </w:r>
          </w:p>
        </w:tc>
      </w:tr>
      <w:tr w:rsidR="00C155D9" w:rsidRPr="00C171B8" w:rsidTr="008739CA">
        <w:tc>
          <w:tcPr>
            <w:tcW w:w="4788" w:type="dxa"/>
            <w:tcBorders>
              <w:top w:val="single" w:sz="4" w:space="0" w:color="auto"/>
            </w:tcBorders>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423: Merchant Wholesalers Durable Good</w:t>
            </w:r>
          </w:p>
        </w:tc>
        <w:tc>
          <w:tcPr>
            <w:tcW w:w="1350" w:type="dxa"/>
            <w:tcBorders>
              <w:top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114,</w:t>
            </w:r>
            <w:r>
              <w:rPr>
                <w:rFonts w:ascii="Times New Roman" w:hAnsi="Times New Roman" w:cs="Times New Roman"/>
                <w:sz w:val="22"/>
                <w:szCs w:val="22"/>
              </w:rPr>
              <w:t>599</w:t>
            </w:r>
          </w:p>
        </w:tc>
        <w:tc>
          <w:tcPr>
            <w:tcW w:w="1260" w:type="dxa"/>
            <w:tcBorders>
              <w:top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4.12</w:t>
            </w:r>
          </w:p>
        </w:tc>
        <w:tc>
          <w:tcPr>
            <w:tcW w:w="1170" w:type="dxa"/>
            <w:tcBorders>
              <w:top w:val="single" w:sz="4" w:space="0" w:color="auto"/>
            </w:tcBorders>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4.12</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424: Merchant Wholesalers Nondurable Good</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49,950</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1.80</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5.92</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425: Wholesale Electronic Markets and A</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4,667</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0.17</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6.09</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441: Motor Vehicle and Parts Dealers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97,016</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3.49</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9.58</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442: Furniture and Home Furnishings Stores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59,022</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2.12</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11.70</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443: Electronics and Appliance Stores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80,483</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2.89</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14.59</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444: Building Material and Garden Equipment</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40,417</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1.45</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16.05</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445: Food and Beverage Stores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67,181</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2.42</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18.46</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446: Health and Personal Care Stores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48,002</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1.73</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20.19</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447: Gasoline Stations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69,925</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2.51</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22.70</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448: Clothing and Clothing Accessories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Pr>
                <w:rFonts w:ascii="Times New Roman" w:hAnsi="Times New Roman" w:cs="Times New Roman"/>
                <w:sz w:val="22"/>
                <w:szCs w:val="22"/>
              </w:rPr>
              <w:t>215,140</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7.74</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30.44</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451: Sporting Goods Hobby Book and Misc.</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132,346</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4.76</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35.20</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452: General Merchandise Stores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63,14</w:t>
            </w:r>
            <w:r>
              <w:rPr>
                <w:rFonts w:ascii="Times New Roman" w:hAnsi="Times New Roman" w:cs="Times New Roman"/>
                <w:sz w:val="22"/>
                <w:szCs w:val="22"/>
              </w:rPr>
              <w:t>5</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2.27</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37.47</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453: Miscellaneous Store Retailers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548,07</w:t>
            </w:r>
            <w:r>
              <w:rPr>
                <w:rFonts w:ascii="Times New Roman" w:hAnsi="Times New Roman" w:cs="Times New Roman"/>
                <w:sz w:val="22"/>
                <w:szCs w:val="22"/>
              </w:rPr>
              <w:t>0</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19.71</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57.19</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 xml:space="preserve">454: </w:t>
            </w:r>
            <w:proofErr w:type="spellStart"/>
            <w:r w:rsidRPr="00C171B8">
              <w:rPr>
                <w:rFonts w:ascii="Times New Roman" w:hAnsi="Times New Roman" w:cs="Times New Roman"/>
                <w:sz w:val="22"/>
                <w:szCs w:val="22"/>
              </w:rPr>
              <w:t>Nonstore</w:t>
            </w:r>
            <w:proofErr w:type="spellEnd"/>
            <w:r w:rsidRPr="00C171B8">
              <w:rPr>
                <w:rFonts w:ascii="Times New Roman" w:hAnsi="Times New Roman" w:cs="Times New Roman"/>
                <w:sz w:val="22"/>
                <w:szCs w:val="22"/>
              </w:rPr>
              <w:t xml:space="preserve"> Retailers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101,9</w:t>
            </w:r>
            <w:r>
              <w:rPr>
                <w:rFonts w:ascii="Times New Roman" w:hAnsi="Times New Roman" w:cs="Times New Roman"/>
                <w:sz w:val="22"/>
                <w:szCs w:val="22"/>
              </w:rPr>
              <w:t>68</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3.67</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60.85</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531: Real Estate</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9,672</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0.35</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61.20</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532: Rental and Leasing Services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39,96</w:t>
            </w:r>
            <w:r>
              <w:rPr>
                <w:rFonts w:ascii="Times New Roman" w:hAnsi="Times New Roman" w:cs="Times New Roman"/>
                <w:sz w:val="22"/>
                <w:szCs w:val="22"/>
              </w:rPr>
              <w:t>1</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1.44</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62.64</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533: Lessors of Nonfinancial Intangible Assets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128</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0.00</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62.64</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541: Professional Scientific and Technical Serv.</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195,18</w:t>
            </w:r>
            <w:r>
              <w:rPr>
                <w:rFonts w:ascii="Times New Roman" w:hAnsi="Times New Roman" w:cs="Times New Roman"/>
                <w:sz w:val="22"/>
                <w:szCs w:val="22"/>
              </w:rPr>
              <w:t>8</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7.02</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69.66</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551: Management of Companies and Enterprise</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1,351</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0.05</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69.71</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561: Administrative and Support Service</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203,68</w:t>
            </w:r>
            <w:r>
              <w:rPr>
                <w:rFonts w:ascii="Times New Roman" w:hAnsi="Times New Roman" w:cs="Times New Roman"/>
                <w:sz w:val="22"/>
                <w:szCs w:val="22"/>
              </w:rPr>
              <w:t>7</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7.33</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77.04</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562: Waste Management and Remediation Serv.</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3,638</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0.13</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77.17</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 xml:space="preserve">711: Performing Arts Spectator Sports </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16,972</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0.61</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77.78</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 xml:space="preserve">712: Museums Historical Sites </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998</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0.04</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77.81</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713: Amusement Gambling, and Recreation</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24,152</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0.87</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78.68</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721: Accommodation</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8,916</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0.32</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79.00</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722: Food Services and Drinking Places</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303,126</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10.90</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89.91</w:t>
            </w:r>
          </w:p>
        </w:tc>
      </w:tr>
      <w:tr w:rsidR="00C155D9" w:rsidRPr="00C171B8" w:rsidTr="008739CA">
        <w:tc>
          <w:tcPr>
            <w:tcW w:w="4788" w:type="dxa"/>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811: Repair and Maintenance</w:t>
            </w:r>
          </w:p>
        </w:tc>
        <w:tc>
          <w:tcPr>
            <w:tcW w:w="135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180,234</w:t>
            </w:r>
          </w:p>
        </w:tc>
        <w:tc>
          <w:tcPr>
            <w:tcW w:w="1260" w:type="dxa"/>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6.48</w:t>
            </w:r>
          </w:p>
        </w:tc>
        <w:tc>
          <w:tcPr>
            <w:tcW w:w="1170" w:type="dxa"/>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96.39</w:t>
            </w:r>
          </w:p>
        </w:tc>
      </w:tr>
      <w:tr w:rsidR="00C155D9" w:rsidRPr="00C171B8" w:rsidTr="008739CA">
        <w:tc>
          <w:tcPr>
            <w:tcW w:w="4788" w:type="dxa"/>
            <w:tcBorders>
              <w:bottom w:val="single" w:sz="4" w:space="0" w:color="auto"/>
            </w:tcBorders>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812: Personal and Laundry Services</w:t>
            </w:r>
          </w:p>
        </w:tc>
        <w:tc>
          <w:tcPr>
            <w:tcW w:w="1350" w:type="dxa"/>
            <w:tcBorders>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100,416</w:t>
            </w:r>
          </w:p>
        </w:tc>
        <w:tc>
          <w:tcPr>
            <w:tcW w:w="1260" w:type="dxa"/>
            <w:tcBorders>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3.61</w:t>
            </w:r>
          </w:p>
        </w:tc>
        <w:tc>
          <w:tcPr>
            <w:tcW w:w="1170" w:type="dxa"/>
            <w:tcBorders>
              <w:bottom w:val="single" w:sz="4" w:space="0" w:color="auto"/>
            </w:tcBorders>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r w:rsidRPr="00C171B8">
              <w:rPr>
                <w:rFonts w:ascii="Times New Roman" w:hAnsi="Times New Roman" w:cs="Times New Roman"/>
                <w:sz w:val="22"/>
                <w:szCs w:val="22"/>
              </w:rPr>
              <w:t>100.00</w:t>
            </w:r>
          </w:p>
        </w:tc>
      </w:tr>
      <w:tr w:rsidR="00C155D9" w:rsidRPr="00C171B8" w:rsidTr="008739CA">
        <w:tc>
          <w:tcPr>
            <w:tcW w:w="4788" w:type="dxa"/>
            <w:tcBorders>
              <w:top w:val="single" w:sz="4" w:space="0" w:color="auto"/>
              <w:bottom w:val="single" w:sz="4" w:space="0" w:color="auto"/>
            </w:tcBorders>
          </w:tcPr>
          <w:p w:rsidR="00C155D9" w:rsidRPr="00C171B8" w:rsidRDefault="00C155D9" w:rsidP="008739CA">
            <w:pPr>
              <w:pStyle w:val="ListParagraph"/>
              <w:spacing w:before="20" w:after="40"/>
              <w:ind w:left="0"/>
              <w:jc w:val="both"/>
              <w:rPr>
                <w:rFonts w:ascii="Times New Roman" w:hAnsi="Times New Roman" w:cs="Times New Roman"/>
                <w:sz w:val="22"/>
                <w:szCs w:val="22"/>
              </w:rPr>
            </w:pPr>
            <w:r w:rsidRPr="00C171B8">
              <w:rPr>
                <w:rFonts w:ascii="Times New Roman" w:hAnsi="Times New Roman" w:cs="Times New Roman"/>
                <w:sz w:val="22"/>
                <w:szCs w:val="22"/>
              </w:rPr>
              <w:t>Total</w:t>
            </w:r>
          </w:p>
        </w:tc>
        <w:tc>
          <w:tcPr>
            <w:tcW w:w="1350" w:type="dxa"/>
            <w:tcBorders>
              <w:top w:val="single" w:sz="4" w:space="0" w:color="auto"/>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2,780,3</w:t>
            </w:r>
            <w:r>
              <w:rPr>
                <w:rFonts w:ascii="Times New Roman" w:hAnsi="Times New Roman" w:cs="Times New Roman"/>
                <w:sz w:val="22"/>
                <w:szCs w:val="22"/>
              </w:rPr>
              <w:t>70</w:t>
            </w:r>
          </w:p>
        </w:tc>
        <w:tc>
          <w:tcPr>
            <w:tcW w:w="1260" w:type="dxa"/>
            <w:tcBorders>
              <w:top w:val="single" w:sz="4" w:space="0" w:color="auto"/>
              <w:bottom w:val="single" w:sz="4" w:space="0" w:color="auto"/>
            </w:tcBorders>
          </w:tcPr>
          <w:p w:rsidR="00C155D9" w:rsidRPr="00C171B8" w:rsidRDefault="00C155D9" w:rsidP="008739CA">
            <w:pPr>
              <w:pStyle w:val="ListParagraph"/>
              <w:spacing w:before="20" w:after="40"/>
              <w:ind w:left="0" w:right="162"/>
              <w:jc w:val="right"/>
              <w:rPr>
                <w:rFonts w:ascii="Times New Roman" w:hAnsi="Times New Roman" w:cs="Times New Roman"/>
                <w:sz w:val="22"/>
                <w:szCs w:val="22"/>
              </w:rPr>
            </w:pPr>
            <w:r w:rsidRPr="00C171B8">
              <w:rPr>
                <w:rFonts w:ascii="Times New Roman" w:hAnsi="Times New Roman" w:cs="Times New Roman"/>
                <w:sz w:val="22"/>
                <w:szCs w:val="22"/>
              </w:rPr>
              <w:t>100.00</w:t>
            </w:r>
          </w:p>
        </w:tc>
        <w:tc>
          <w:tcPr>
            <w:tcW w:w="1170" w:type="dxa"/>
            <w:tcBorders>
              <w:top w:val="single" w:sz="4" w:space="0" w:color="auto"/>
              <w:bottom w:val="single" w:sz="4" w:space="0" w:color="auto"/>
            </w:tcBorders>
          </w:tcPr>
          <w:p w:rsidR="00C155D9" w:rsidRPr="00C171B8" w:rsidRDefault="00C155D9" w:rsidP="008739CA">
            <w:pPr>
              <w:pStyle w:val="ListParagraph"/>
              <w:spacing w:before="20" w:after="40"/>
              <w:ind w:left="0" w:right="134"/>
              <w:jc w:val="right"/>
              <w:rPr>
                <w:rFonts w:ascii="Times New Roman" w:hAnsi="Times New Roman" w:cs="Times New Roman"/>
                <w:sz w:val="22"/>
                <w:szCs w:val="22"/>
              </w:rPr>
            </w:pPr>
          </w:p>
        </w:tc>
      </w:tr>
    </w:tbl>
    <w:p w:rsidR="00C155D9" w:rsidRDefault="00C155D9" w:rsidP="00C155D9">
      <w:pPr>
        <w:pStyle w:val="ListParagraph"/>
        <w:spacing w:line="360" w:lineRule="auto"/>
        <w:jc w:val="both"/>
        <w:rPr>
          <w:rFonts w:ascii="Times New Roman" w:hAnsi="Times New Roman" w:cs="Times New Roman"/>
        </w:rPr>
      </w:pPr>
    </w:p>
    <w:p w:rsidR="00C155D9" w:rsidRPr="005704E4" w:rsidRDefault="00C155D9" w:rsidP="00C155D9">
      <w:pPr>
        <w:pStyle w:val="ListParagraph"/>
        <w:spacing w:line="360" w:lineRule="auto"/>
        <w:jc w:val="both"/>
        <w:rPr>
          <w:rFonts w:ascii="Times New Roman" w:hAnsi="Times New Roman" w:cs="Times New Roman"/>
        </w:rPr>
      </w:pPr>
    </w:p>
    <w:p w:rsidR="00C155D9" w:rsidRDefault="00C155D9" w:rsidP="00C155D9">
      <w:pPr>
        <w:rPr>
          <w:rFonts w:ascii="Times New Roman" w:hAnsi="Times New Roman" w:cs="Times New Roman"/>
        </w:rPr>
      </w:pPr>
      <w:r>
        <w:rPr>
          <w:rFonts w:ascii="Times New Roman" w:hAnsi="Times New Roman" w:cs="Times New Roman"/>
        </w:rPr>
        <w:br w:type="page"/>
      </w:r>
    </w:p>
    <w:p w:rsidR="00C155D9" w:rsidRDefault="00C155D9" w:rsidP="00C155D9">
      <w:pPr>
        <w:keepNext/>
        <w:spacing w:after="0" w:line="360" w:lineRule="auto"/>
        <w:rPr>
          <w:rFonts w:ascii="Times New Roman" w:hAnsi="Times New Roman" w:cs="Times New Roman"/>
          <w:b/>
        </w:rPr>
      </w:pPr>
      <w:r>
        <w:rPr>
          <w:rFonts w:ascii="Times New Roman" w:hAnsi="Times New Roman" w:cs="Times New Roman"/>
          <w:b/>
        </w:rPr>
        <w:lastRenderedPageBreak/>
        <w:t>Appendix B: Robustness Analysis</w:t>
      </w:r>
    </w:p>
    <w:p w:rsidR="00C155D9" w:rsidRDefault="00C155D9" w:rsidP="00C155D9">
      <w:pPr>
        <w:keepNext/>
        <w:spacing w:after="0" w:line="360" w:lineRule="auto"/>
        <w:rPr>
          <w:rFonts w:ascii="Times New Roman" w:hAnsi="Times New Roman" w:cs="Times New Roman"/>
          <w:b/>
        </w:rPr>
      </w:pPr>
    </w:p>
    <w:p w:rsidR="00C155D9" w:rsidRPr="005704E4" w:rsidRDefault="00C155D9" w:rsidP="00C155D9">
      <w:pPr>
        <w:keepNext/>
        <w:spacing w:after="0" w:line="360" w:lineRule="auto"/>
        <w:jc w:val="center"/>
        <w:rPr>
          <w:rFonts w:ascii="Times New Roman" w:hAnsi="Times New Roman" w:cs="Times New Roman"/>
          <w:b/>
        </w:rPr>
      </w:pPr>
      <w:r w:rsidRPr="005704E4">
        <w:rPr>
          <w:rFonts w:ascii="Times New Roman" w:hAnsi="Times New Roman" w:cs="Times New Roman"/>
          <w:b/>
        </w:rPr>
        <w:t xml:space="preserve">Table </w:t>
      </w:r>
      <w:r>
        <w:rPr>
          <w:rFonts w:ascii="Times New Roman" w:hAnsi="Times New Roman" w:cs="Times New Roman"/>
          <w:b/>
        </w:rPr>
        <w:t>A2</w:t>
      </w:r>
      <w:r w:rsidRPr="005704E4">
        <w:rPr>
          <w:rFonts w:ascii="Times New Roman" w:hAnsi="Times New Roman" w:cs="Times New Roman"/>
          <w:b/>
        </w:rPr>
        <w:t xml:space="preserve">: </w:t>
      </w:r>
      <w:proofErr w:type="spellStart"/>
      <w:r w:rsidRPr="005704E4">
        <w:rPr>
          <w:rFonts w:ascii="Times New Roman" w:hAnsi="Times New Roman" w:cs="Times New Roman"/>
          <w:b/>
        </w:rPr>
        <w:t>Weibull</w:t>
      </w:r>
      <w:proofErr w:type="spellEnd"/>
      <w:r w:rsidRPr="005704E4">
        <w:rPr>
          <w:rFonts w:ascii="Times New Roman" w:hAnsi="Times New Roman" w:cs="Times New Roman"/>
          <w:b/>
        </w:rPr>
        <w:t xml:space="preserve"> Duration Regressions</w:t>
      </w:r>
      <w:r>
        <w:rPr>
          <w:rFonts w:ascii="Times New Roman" w:hAnsi="Times New Roman" w:cs="Times New Roman"/>
          <w:b/>
        </w:rPr>
        <w:t>, with Industry (3-digit NAICS) Fixed Effects</w:t>
      </w:r>
    </w:p>
    <w:tbl>
      <w:tblPr>
        <w:tblW w:w="9072" w:type="dxa"/>
        <w:jc w:val="center"/>
        <w:tblCellMar>
          <w:left w:w="144" w:type="dxa"/>
          <w:right w:w="144" w:type="dxa"/>
        </w:tblCellMar>
        <w:tblLook w:val="0000" w:firstRow="0" w:lastRow="0" w:firstColumn="0" w:lastColumn="0" w:noHBand="0" w:noVBand="0"/>
      </w:tblPr>
      <w:tblGrid>
        <w:gridCol w:w="2160"/>
        <w:gridCol w:w="1166"/>
        <w:gridCol w:w="1149"/>
        <w:gridCol w:w="1149"/>
        <w:gridCol w:w="1149"/>
        <w:gridCol w:w="1149"/>
        <w:gridCol w:w="1150"/>
      </w:tblGrid>
      <w:tr w:rsidR="00C155D9" w:rsidRPr="001D43FE" w:rsidTr="008739CA">
        <w:trPr>
          <w:jc w:val="center"/>
        </w:trPr>
        <w:tc>
          <w:tcPr>
            <w:tcW w:w="2160" w:type="dxa"/>
            <w:tcBorders>
              <w:top w:val="single" w:sz="6" w:space="0" w:color="auto"/>
              <w:left w:val="nil"/>
              <w:bottom w:val="nil"/>
              <w:right w:val="nil"/>
            </w:tcBorders>
            <w:tcMar>
              <w:left w:w="72" w:type="dxa"/>
              <w:right w:w="72" w:type="dxa"/>
            </w:tcMar>
          </w:tcPr>
          <w:p w:rsidR="00C155D9" w:rsidRPr="001D43FE" w:rsidRDefault="00C155D9" w:rsidP="008739CA">
            <w:pPr>
              <w:spacing w:after="0" w:line="240" w:lineRule="auto"/>
              <w:jc w:val="center"/>
              <w:rPr>
                <w:rFonts w:ascii="Times New Roman" w:hAnsi="Times New Roman" w:cs="Times New Roman"/>
                <w:sz w:val="20"/>
                <w:szCs w:val="20"/>
              </w:rPr>
            </w:pPr>
          </w:p>
        </w:tc>
        <w:tc>
          <w:tcPr>
            <w:tcW w:w="1166"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49"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49"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49"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49"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50" w:type="dxa"/>
            <w:tcBorders>
              <w:top w:val="single" w:sz="6" w:space="0" w:color="auto"/>
              <w:left w:val="nil"/>
              <w:bottom w:val="nil"/>
              <w:right w:val="nil"/>
            </w:tcBorders>
            <w:tcMar>
              <w:left w:w="72" w:type="dxa"/>
              <w:right w:w="72" w:type="dxa"/>
            </w:tcMar>
          </w:tcPr>
          <w:p w:rsidR="00C155D9" w:rsidRPr="00AE480F" w:rsidRDefault="00C155D9" w:rsidP="00873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155D9" w:rsidRPr="001D43FE" w:rsidTr="008739CA">
        <w:trPr>
          <w:jc w:val="center"/>
        </w:trPr>
        <w:tc>
          <w:tcPr>
            <w:tcW w:w="2160" w:type="dxa"/>
            <w:tcBorders>
              <w:top w:val="single" w:sz="6" w:space="0" w:color="auto"/>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Number Opened</w:t>
            </w:r>
          </w:p>
        </w:tc>
        <w:tc>
          <w:tcPr>
            <w:tcW w:w="1166"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0.978***</w:t>
            </w:r>
          </w:p>
        </w:tc>
        <w:tc>
          <w:tcPr>
            <w:tcW w:w="1149"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0.952***</w:t>
            </w:r>
          </w:p>
        </w:tc>
        <w:tc>
          <w:tcPr>
            <w:tcW w:w="1149"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0.956***</w:t>
            </w:r>
          </w:p>
        </w:tc>
        <w:tc>
          <w:tcPr>
            <w:tcW w:w="1150" w:type="dxa"/>
            <w:tcBorders>
              <w:top w:val="single" w:sz="6" w:space="0" w:color="auto"/>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0.916***</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(0.002)</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Squared (Number</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1.009***</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Opened Before)</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(0.000)</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1.002</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Still Open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 (Number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0.999*</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Still Open)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0.963***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but Closed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(0.002)</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 (Number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1.011***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but Closed)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(0.000)</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Opened in recession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0.931***</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0.928***</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Major Chain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0.697***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0.696***</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0.691***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0.690***</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0.689***</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0.692***</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(0.006)</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Urban Establishment</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1.203***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1.203***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1.202***</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1.202***</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1.192***</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1.190***</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Proprietorship</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1.621***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1.624***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1.628***</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1.631***</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1.621***</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1.624***</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Partnership</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1.715***</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1.719***</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1.719***</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1.717***</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1.716***</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(0.007)</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Number Opened </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0.991***</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1.002</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Recession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(0.005)</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Number Opened </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1.012**</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1.016</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Chain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(0.006)</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(0.011)</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Number Opened </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1.025***</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1.044***</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Urban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(0.003)</w:t>
            </w: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(0.004)</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 (Number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0.998***</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Recession)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 (Number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0.998*</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Chain)</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Sq. (Number Opened</w:t>
            </w:r>
          </w:p>
        </w:tc>
        <w:tc>
          <w:tcPr>
            <w:tcW w:w="1166"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nil"/>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0.995***</w:t>
            </w:r>
          </w:p>
        </w:tc>
      </w:tr>
      <w:tr w:rsidR="00C155D9" w:rsidRPr="001D43FE" w:rsidTr="008739CA">
        <w:trPr>
          <w:jc w:val="center"/>
        </w:trPr>
        <w:tc>
          <w:tcPr>
            <w:tcW w:w="2160" w:type="dxa"/>
            <w:tcBorders>
              <w:top w:val="nil"/>
              <w:left w:val="nil"/>
              <w:bottom w:val="single" w:sz="4" w:space="0" w:color="auto"/>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   Before * Urban)</w:t>
            </w:r>
          </w:p>
        </w:tc>
        <w:tc>
          <w:tcPr>
            <w:tcW w:w="1166"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49"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p>
        </w:tc>
        <w:tc>
          <w:tcPr>
            <w:tcW w:w="1150" w:type="dxa"/>
            <w:tcBorders>
              <w:top w:val="nil"/>
              <w:left w:val="nil"/>
              <w:bottom w:val="single" w:sz="4" w:space="0" w:color="auto"/>
              <w:right w:val="nil"/>
            </w:tcBorders>
            <w:tcMar>
              <w:left w:w="72" w:type="dxa"/>
              <w:right w:w="72" w:type="dxa"/>
            </w:tcMar>
          </w:tcPr>
          <w:p w:rsidR="00C155D9" w:rsidRPr="00285519" w:rsidRDefault="00C155D9" w:rsidP="008739CA">
            <w:pPr>
              <w:spacing w:after="0" w:line="240" w:lineRule="auto"/>
              <w:jc w:val="both"/>
              <w:rPr>
                <w:rFonts w:ascii="Times New Roman" w:hAnsi="Times New Roman" w:cs="Times New Roman"/>
                <w:sz w:val="20"/>
                <w:szCs w:val="20"/>
              </w:rPr>
            </w:pPr>
            <w:r w:rsidRPr="00285519">
              <w:rPr>
                <w:rFonts w:ascii="Times New Roman" w:hAnsi="Times New Roman" w:cs="Times New Roman"/>
                <w:sz w:val="20"/>
                <w:szCs w:val="20"/>
              </w:rPr>
              <w:t>(0.001)</w:t>
            </w:r>
          </w:p>
        </w:tc>
      </w:tr>
      <w:tr w:rsidR="00C155D9" w:rsidRPr="001D43FE" w:rsidTr="008739CA">
        <w:trPr>
          <w:jc w:val="center"/>
        </w:trPr>
        <w:tc>
          <w:tcPr>
            <w:tcW w:w="2160" w:type="dxa"/>
            <w:tcBorders>
              <w:top w:val="single" w:sz="4" w:space="0" w:color="auto"/>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NAICS Fixed Effects</w:t>
            </w:r>
          </w:p>
        </w:tc>
        <w:tc>
          <w:tcPr>
            <w:tcW w:w="1166"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c>
          <w:tcPr>
            <w:tcW w:w="1150"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Yes</w:t>
            </w:r>
          </w:p>
        </w:tc>
      </w:tr>
      <w:tr w:rsidR="00C155D9" w:rsidRPr="001D43FE" w:rsidTr="008739CA">
        <w:trPr>
          <w:jc w:val="center"/>
        </w:trPr>
        <w:tc>
          <w:tcPr>
            <w:tcW w:w="2160" w:type="dxa"/>
            <w:tcBorders>
              <w:top w:val="single" w:sz="4" w:space="0" w:color="auto"/>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 xml:space="preserve">Number of </w:t>
            </w:r>
            <w:proofErr w:type="spellStart"/>
            <w:r w:rsidRPr="001D43FE">
              <w:rPr>
                <w:rFonts w:ascii="Times New Roman" w:hAnsi="Times New Roman" w:cs="Times New Roman"/>
                <w:sz w:val="20"/>
                <w:szCs w:val="20"/>
              </w:rPr>
              <w:t>obs</w:t>
            </w:r>
            <w:proofErr w:type="spellEnd"/>
          </w:p>
        </w:tc>
        <w:tc>
          <w:tcPr>
            <w:tcW w:w="1166"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c>
          <w:tcPr>
            <w:tcW w:w="1149"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c>
          <w:tcPr>
            <w:tcW w:w="1150" w:type="dxa"/>
            <w:tcBorders>
              <w:top w:val="single" w:sz="4" w:space="0" w:color="auto"/>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2,331,988</w:t>
            </w:r>
          </w:p>
        </w:tc>
      </w:tr>
      <w:tr w:rsidR="00C155D9" w:rsidRPr="001D43FE" w:rsidTr="008739CA">
        <w:trPr>
          <w:jc w:val="center"/>
        </w:trPr>
        <w:tc>
          <w:tcPr>
            <w:tcW w:w="2160" w:type="dxa"/>
            <w:tcBorders>
              <w:top w:val="nil"/>
              <w:left w:val="nil"/>
              <w:bottom w:val="nil"/>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No. of failures</w:t>
            </w:r>
          </w:p>
        </w:tc>
        <w:tc>
          <w:tcPr>
            <w:tcW w:w="1166"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c>
          <w:tcPr>
            <w:tcW w:w="1149"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c>
          <w:tcPr>
            <w:tcW w:w="1149"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c>
          <w:tcPr>
            <w:tcW w:w="1149"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c>
          <w:tcPr>
            <w:tcW w:w="1149"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c>
          <w:tcPr>
            <w:tcW w:w="1150" w:type="dxa"/>
            <w:tcBorders>
              <w:top w:val="nil"/>
              <w:left w:val="nil"/>
              <w:bottom w:val="nil"/>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1,849,592</w:t>
            </w:r>
          </w:p>
        </w:tc>
      </w:tr>
      <w:tr w:rsidR="00C155D9" w:rsidRPr="001D43FE" w:rsidTr="008739CA">
        <w:trPr>
          <w:jc w:val="center"/>
        </w:trPr>
        <w:tc>
          <w:tcPr>
            <w:tcW w:w="2160" w:type="dxa"/>
            <w:tcBorders>
              <w:top w:val="nil"/>
              <w:left w:val="nil"/>
              <w:bottom w:val="single" w:sz="6" w:space="0" w:color="auto"/>
              <w:right w:val="nil"/>
            </w:tcBorders>
            <w:tcMar>
              <w:left w:w="72" w:type="dxa"/>
              <w:right w:w="72" w:type="dxa"/>
            </w:tcMar>
          </w:tcPr>
          <w:p w:rsidR="00C155D9" w:rsidRPr="001D43FE" w:rsidRDefault="00C155D9" w:rsidP="008739CA">
            <w:pPr>
              <w:spacing w:after="0" w:line="240" w:lineRule="auto"/>
              <w:jc w:val="both"/>
              <w:rPr>
                <w:rFonts w:ascii="Times New Roman" w:hAnsi="Times New Roman" w:cs="Times New Roman"/>
                <w:sz w:val="20"/>
                <w:szCs w:val="20"/>
              </w:rPr>
            </w:pPr>
            <w:r w:rsidRPr="001D43FE">
              <w:rPr>
                <w:rFonts w:ascii="Times New Roman" w:hAnsi="Times New Roman" w:cs="Times New Roman"/>
                <w:sz w:val="20"/>
                <w:szCs w:val="20"/>
              </w:rPr>
              <w:t>p (</w:t>
            </w:r>
            <w:proofErr w:type="spellStart"/>
            <w:r w:rsidRPr="001D43FE">
              <w:rPr>
                <w:rFonts w:ascii="Times New Roman" w:hAnsi="Times New Roman" w:cs="Times New Roman"/>
                <w:sz w:val="20"/>
                <w:szCs w:val="20"/>
              </w:rPr>
              <w:t>Weibull</w:t>
            </w:r>
            <w:proofErr w:type="spellEnd"/>
            <w:r w:rsidRPr="001D43FE">
              <w:rPr>
                <w:rFonts w:ascii="Times New Roman" w:hAnsi="Times New Roman" w:cs="Times New Roman"/>
                <w:sz w:val="20"/>
                <w:szCs w:val="20"/>
              </w:rPr>
              <w:t>)</w:t>
            </w:r>
          </w:p>
        </w:tc>
        <w:tc>
          <w:tcPr>
            <w:tcW w:w="1166"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c>
          <w:tcPr>
            <w:tcW w:w="1149"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c>
          <w:tcPr>
            <w:tcW w:w="1149"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c>
          <w:tcPr>
            <w:tcW w:w="1149"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c>
          <w:tcPr>
            <w:tcW w:w="1149"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c>
          <w:tcPr>
            <w:tcW w:w="1150" w:type="dxa"/>
            <w:tcBorders>
              <w:top w:val="nil"/>
              <w:left w:val="nil"/>
              <w:bottom w:val="single" w:sz="6" w:space="0" w:color="auto"/>
              <w:right w:val="nil"/>
            </w:tcBorders>
            <w:tcMar>
              <w:left w:w="72" w:type="dxa"/>
              <w:right w:w="72" w:type="dxa"/>
            </w:tcMar>
          </w:tcPr>
          <w:p w:rsidR="00C155D9" w:rsidRPr="00AE480F" w:rsidRDefault="00C155D9" w:rsidP="008739CA">
            <w:pPr>
              <w:spacing w:after="0" w:line="240" w:lineRule="auto"/>
              <w:ind w:left="108"/>
              <w:jc w:val="both"/>
              <w:rPr>
                <w:rFonts w:ascii="Times New Roman" w:hAnsi="Times New Roman" w:cs="Times New Roman"/>
                <w:sz w:val="20"/>
                <w:szCs w:val="20"/>
              </w:rPr>
            </w:pPr>
            <w:r w:rsidRPr="00AE480F">
              <w:rPr>
                <w:rFonts w:ascii="Times New Roman" w:hAnsi="Times New Roman" w:cs="Times New Roman"/>
                <w:sz w:val="20"/>
                <w:szCs w:val="20"/>
              </w:rPr>
              <w:t>0.8</w:t>
            </w:r>
            <w:r>
              <w:rPr>
                <w:rFonts w:ascii="Times New Roman" w:hAnsi="Times New Roman" w:cs="Times New Roman"/>
                <w:sz w:val="20"/>
                <w:szCs w:val="20"/>
              </w:rPr>
              <w:t>9</w:t>
            </w:r>
          </w:p>
        </w:tc>
      </w:tr>
    </w:tbl>
    <w:p w:rsidR="00C155D9" w:rsidRPr="001D43FE" w:rsidRDefault="00C155D9" w:rsidP="00C155D9">
      <w:pPr>
        <w:spacing w:line="360" w:lineRule="auto"/>
        <w:ind w:left="270"/>
        <w:jc w:val="both"/>
        <w:rPr>
          <w:rFonts w:ascii="Times New Roman" w:hAnsi="Times New Roman" w:cs="Times New Roman"/>
          <w:sz w:val="20"/>
          <w:szCs w:val="20"/>
        </w:rPr>
      </w:pPr>
      <w:r w:rsidRPr="001D43FE">
        <w:rPr>
          <w:rFonts w:ascii="Times New Roman" w:hAnsi="Times New Roman" w:cs="Times New Roman"/>
          <w:sz w:val="20"/>
          <w:szCs w:val="20"/>
        </w:rPr>
        <w:t xml:space="preserve">Notes: Standard errors, clustered at the owner level, in parentheses. * </w:t>
      </w:r>
      <w:r w:rsidRPr="001D43FE">
        <w:rPr>
          <w:rFonts w:ascii="Times New Roman" w:hAnsi="Times New Roman" w:cs="Times New Roman"/>
          <w:i/>
          <w:iCs/>
          <w:sz w:val="20"/>
          <w:szCs w:val="20"/>
        </w:rPr>
        <w:t>p</w:t>
      </w:r>
      <w:r w:rsidRPr="001D43FE">
        <w:rPr>
          <w:rFonts w:ascii="Times New Roman" w:hAnsi="Times New Roman" w:cs="Times New Roman"/>
          <w:sz w:val="20"/>
          <w:szCs w:val="20"/>
        </w:rPr>
        <w:t xml:space="preserve">&lt;0.1; ** </w:t>
      </w:r>
      <w:r w:rsidRPr="001D43FE">
        <w:rPr>
          <w:rFonts w:ascii="Times New Roman" w:hAnsi="Times New Roman" w:cs="Times New Roman"/>
          <w:i/>
          <w:iCs/>
          <w:sz w:val="20"/>
          <w:szCs w:val="20"/>
        </w:rPr>
        <w:t>p</w:t>
      </w:r>
      <w:r w:rsidRPr="001D43FE">
        <w:rPr>
          <w:rFonts w:ascii="Times New Roman" w:hAnsi="Times New Roman" w:cs="Times New Roman"/>
          <w:sz w:val="20"/>
          <w:szCs w:val="20"/>
        </w:rPr>
        <w:t xml:space="preserve">&lt;0.05; *** </w:t>
      </w:r>
      <w:r w:rsidRPr="001D43FE">
        <w:rPr>
          <w:rFonts w:ascii="Times New Roman" w:hAnsi="Times New Roman" w:cs="Times New Roman"/>
          <w:i/>
          <w:iCs/>
          <w:sz w:val="20"/>
          <w:szCs w:val="20"/>
        </w:rPr>
        <w:t>p</w:t>
      </w:r>
      <w:r w:rsidRPr="001D43FE">
        <w:rPr>
          <w:rFonts w:ascii="Times New Roman" w:hAnsi="Times New Roman" w:cs="Times New Roman"/>
          <w:sz w:val="20"/>
          <w:szCs w:val="20"/>
        </w:rPr>
        <w:t>&lt;0.01</w:t>
      </w:r>
    </w:p>
    <w:p w:rsidR="00C155D9" w:rsidRPr="005704E4" w:rsidRDefault="00C155D9" w:rsidP="00C155D9">
      <w:pPr>
        <w:rPr>
          <w:rFonts w:ascii="Times New Roman" w:hAnsi="Times New Roman" w:cs="Times New Roman"/>
        </w:rPr>
      </w:pPr>
    </w:p>
    <w:p w:rsidR="00424A48" w:rsidRDefault="00424A48">
      <w:bookmarkStart w:id="0" w:name="_GoBack"/>
      <w:bookmarkEnd w:id="0"/>
    </w:p>
    <w:sectPr w:rsidR="00424A48" w:rsidSect="00616F78">
      <w:footerReference w:type="even" r:id="rId7"/>
      <w:footerReference w:type="default" r:id="rId8"/>
      <w:pgSz w:w="12240" w:h="15840"/>
      <w:pgMar w:top="1440" w:right="1584" w:bottom="1296"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2A" w:rsidRDefault="0021032A" w:rsidP="00C155D9">
      <w:pPr>
        <w:spacing w:after="0" w:line="240" w:lineRule="auto"/>
      </w:pPr>
      <w:r>
        <w:separator/>
      </w:r>
    </w:p>
  </w:endnote>
  <w:endnote w:type="continuationSeparator" w:id="0">
    <w:p w:rsidR="0021032A" w:rsidRDefault="0021032A" w:rsidP="00C1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CD" w:rsidRDefault="0021032A" w:rsidP="00964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FCD" w:rsidRDefault="0021032A" w:rsidP="00964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CD" w:rsidRPr="005F4A05" w:rsidRDefault="0021032A" w:rsidP="00964AA1">
    <w:pPr>
      <w:pStyle w:val="Footer"/>
      <w:framePr w:wrap="around" w:vAnchor="text" w:hAnchor="margin" w:xAlign="center" w:y="1"/>
      <w:rPr>
        <w:rStyle w:val="PageNumber"/>
        <w:rFonts w:ascii="Times New Roman" w:hAnsi="Times New Roman" w:cs="Times New Roman"/>
      </w:rPr>
    </w:pPr>
    <w:r w:rsidRPr="005F4A05">
      <w:rPr>
        <w:rStyle w:val="PageNumber"/>
        <w:rFonts w:ascii="Times New Roman" w:hAnsi="Times New Roman" w:cs="Times New Roman"/>
      </w:rPr>
      <w:fldChar w:fldCharType="begin"/>
    </w:r>
    <w:r w:rsidRPr="005F4A05">
      <w:rPr>
        <w:rStyle w:val="PageNumber"/>
        <w:rFonts w:ascii="Times New Roman" w:hAnsi="Times New Roman" w:cs="Times New Roman"/>
      </w:rPr>
      <w:instrText xml:space="preserve">PAGE  </w:instrText>
    </w:r>
    <w:r w:rsidRPr="005F4A05">
      <w:rPr>
        <w:rStyle w:val="PageNumber"/>
        <w:rFonts w:ascii="Times New Roman" w:hAnsi="Times New Roman" w:cs="Times New Roman"/>
      </w:rPr>
      <w:fldChar w:fldCharType="separate"/>
    </w:r>
    <w:r w:rsidR="00C155D9">
      <w:rPr>
        <w:rStyle w:val="PageNumber"/>
        <w:rFonts w:ascii="Times New Roman" w:hAnsi="Times New Roman" w:cs="Times New Roman"/>
        <w:noProof/>
      </w:rPr>
      <w:t>2</w:t>
    </w:r>
    <w:r w:rsidRPr="005F4A05">
      <w:rPr>
        <w:rStyle w:val="PageNumber"/>
        <w:rFonts w:ascii="Times New Roman" w:hAnsi="Times New Roman" w:cs="Times New Roman"/>
      </w:rPr>
      <w:fldChar w:fldCharType="end"/>
    </w:r>
  </w:p>
  <w:p w:rsidR="00474FCD" w:rsidRDefault="0021032A" w:rsidP="00964AA1">
    <w:pPr>
      <w:pStyle w:val="Footer"/>
      <w:ind w:right="360"/>
      <w:jc w:val="center"/>
    </w:pPr>
  </w:p>
  <w:p w:rsidR="00474FCD" w:rsidRDefault="00210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2A" w:rsidRDefault="0021032A" w:rsidP="00C155D9">
      <w:pPr>
        <w:spacing w:after="0" w:line="240" w:lineRule="auto"/>
      </w:pPr>
      <w:r>
        <w:separator/>
      </w:r>
    </w:p>
  </w:footnote>
  <w:footnote w:type="continuationSeparator" w:id="0">
    <w:p w:rsidR="0021032A" w:rsidRDefault="0021032A" w:rsidP="00C155D9">
      <w:pPr>
        <w:spacing w:after="0" w:line="240" w:lineRule="auto"/>
      </w:pPr>
      <w:r>
        <w:continuationSeparator/>
      </w:r>
    </w:p>
  </w:footnote>
  <w:footnote w:id="1">
    <w:p w:rsidR="00C155D9" w:rsidRPr="00F435DD" w:rsidRDefault="00C155D9" w:rsidP="00C155D9">
      <w:pPr>
        <w:pStyle w:val="FootnoteText"/>
        <w:jc w:val="both"/>
        <w:rPr>
          <w:rFonts w:ascii="Times New Roman" w:hAnsi="Times New Roman" w:cs="Times New Roman"/>
        </w:rPr>
      </w:pPr>
      <w:r>
        <w:rPr>
          <w:rStyle w:val="FootnoteReference"/>
        </w:rPr>
        <w:footnoteRef/>
      </w:r>
      <w:r>
        <w:t xml:space="preserve"> </w:t>
      </w:r>
      <w:r w:rsidRPr="00F435DD">
        <w:rPr>
          <w:rFonts w:ascii="Times New Roman" w:hAnsi="Times New Roman" w:cs="Times New Roman"/>
        </w:rPr>
        <w:t>Specifically, we include wholesalers as well as all retail trade, and food services and entertainment and all personal services in our definition of retail. See Table A1 below for a list of 3-digit NAICS industries we include.</w:t>
      </w:r>
    </w:p>
    <w:p w:rsidR="00C155D9" w:rsidRDefault="00C155D9" w:rsidP="00C155D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D9"/>
    <w:rsid w:val="0021032A"/>
    <w:rsid w:val="00424A48"/>
    <w:rsid w:val="00C1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D9"/>
    <w:pPr>
      <w:ind w:left="720"/>
      <w:contextualSpacing/>
    </w:pPr>
  </w:style>
  <w:style w:type="paragraph" w:styleId="FootnoteText">
    <w:name w:val="footnote text"/>
    <w:basedOn w:val="Normal"/>
    <w:link w:val="FootnoteTextChar"/>
    <w:unhideWhenUsed/>
    <w:rsid w:val="00C155D9"/>
    <w:pPr>
      <w:spacing w:after="0" w:line="240" w:lineRule="auto"/>
    </w:pPr>
    <w:rPr>
      <w:sz w:val="20"/>
      <w:szCs w:val="20"/>
    </w:rPr>
  </w:style>
  <w:style w:type="character" w:customStyle="1" w:styleId="FootnoteTextChar">
    <w:name w:val="Footnote Text Char"/>
    <w:basedOn w:val="DefaultParagraphFont"/>
    <w:link w:val="FootnoteText"/>
    <w:rsid w:val="00C155D9"/>
    <w:rPr>
      <w:sz w:val="20"/>
      <w:szCs w:val="20"/>
    </w:rPr>
  </w:style>
  <w:style w:type="character" w:styleId="FootnoteReference">
    <w:name w:val="footnote reference"/>
    <w:basedOn w:val="DefaultParagraphFont"/>
    <w:unhideWhenUsed/>
    <w:rsid w:val="00C155D9"/>
    <w:rPr>
      <w:vertAlign w:val="superscript"/>
    </w:rPr>
  </w:style>
  <w:style w:type="paragraph" w:styleId="Footer">
    <w:name w:val="footer"/>
    <w:basedOn w:val="Normal"/>
    <w:link w:val="FooterChar"/>
    <w:uiPriority w:val="99"/>
    <w:unhideWhenUsed/>
    <w:rsid w:val="00C1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9"/>
  </w:style>
  <w:style w:type="table" w:styleId="TableGrid">
    <w:name w:val="Table Grid"/>
    <w:basedOn w:val="TableNormal"/>
    <w:uiPriority w:val="59"/>
    <w:rsid w:val="00C155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D9"/>
    <w:pPr>
      <w:ind w:left="720"/>
      <w:contextualSpacing/>
    </w:pPr>
  </w:style>
  <w:style w:type="paragraph" w:styleId="FootnoteText">
    <w:name w:val="footnote text"/>
    <w:basedOn w:val="Normal"/>
    <w:link w:val="FootnoteTextChar"/>
    <w:unhideWhenUsed/>
    <w:rsid w:val="00C155D9"/>
    <w:pPr>
      <w:spacing w:after="0" w:line="240" w:lineRule="auto"/>
    </w:pPr>
    <w:rPr>
      <w:sz w:val="20"/>
      <w:szCs w:val="20"/>
    </w:rPr>
  </w:style>
  <w:style w:type="character" w:customStyle="1" w:styleId="FootnoteTextChar">
    <w:name w:val="Footnote Text Char"/>
    <w:basedOn w:val="DefaultParagraphFont"/>
    <w:link w:val="FootnoteText"/>
    <w:rsid w:val="00C155D9"/>
    <w:rPr>
      <w:sz w:val="20"/>
      <w:szCs w:val="20"/>
    </w:rPr>
  </w:style>
  <w:style w:type="character" w:styleId="FootnoteReference">
    <w:name w:val="footnote reference"/>
    <w:basedOn w:val="DefaultParagraphFont"/>
    <w:unhideWhenUsed/>
    <w:rsid w:val="00C155D9"/>
    <w:rPr>
      <w:vertAlign w:val="superscript"/>
    </w:rPr>
  </w:style>
  <w:style w:type="paragraph" w:styleId="Footer">
    <w:name w:val="footer"/>
    <w:basedOn w:val="Normal"/>
    <w:link w:val="FooterChar"/>
    <w:uiPriority w:val="99"/>
    <w:unhideWhenUsed/>
    <w:rsid w:val="00C1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9"/>
  </w:style>
  <w:style w:type="table" w:styleId="TableGrid">
    <w:name w:val="Table Grid"/>
    <w:basedOn w:val="TableNormal"/>
    <w:uiPriority w:val="59"/>
    <w:rsid w:val="00C155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5271</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Cryer</dc:creator>
  <cp:lastModifiedBy>Jennifer Cryer</cp:lastModifiedBy>
  <cp:revision>1</cp:revision>
  <dcterms:created xsi:type="dcterms:W3CDTF">2014-07-11T21:38:00Z</dcterms:created>
  <dcterms:modified xsi:type="dcterms:W3CDTF">2014-07-11T21:38:00Z</dcterms:modified>
</cp:coreProperties>
</file>